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C6B0" w14:textId="314B8A2B" w:rsidR="00E95FB4" w:rsidRPr="00013336" w:rsidRDefault="002A35E6" w:rsidP="00EB3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336">
        <w:rPr>
          <w:rFonts w:ascii="Times New Roman" w:hAnsi="Times New Roman" w:cs="Times New Roman"/>
          <w:sz w:val="24"/>
          <w:szCs w:val="24"/>
        </w:rPr>
        <w:t>COMUNICATO WEB</w:t>
      </w:r>
    </w:p>
    <w:p w14:paraId="3E1AD20A" w14:textId="290B3B56" w:rsidR="002A35E6" w:rsidRPr="00013336" w:rsidRDefault="002A35E6" w:rsidP="002A35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336">
        <w:rPr>
          <w:rFonts w:ascii="Times New Roman" w:hAnsi="Times New Roman" w:cs="Times New Roman"/>
          <w:b/>
          <w:bCs/>
          <w:sz w:val="24"/>
          <w:szCs w:val="24"/>
        </w:rPr>
        <w:t>Corso di Formazione ECM n.</w:t>
      </w:r>
      <w:r w:rsidR="00082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4C6" w:rsidRPr="000824C6">
        <w:rPr>
          <w:rFonts w:ascii="Times New Roman" w:hAnsi="Times New Roman" w:cs="Times New Roman"/>
          <w:b/>
          <w:bCs/>
          <w:sz w:val="24"/>
          <w:szCs w:val="24"/>
        </w:rPr>
        <w:t>290/</w:t>
      </w:r>
      <w:r w:rsidR="000F6F1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51F69">
        <w:rPr>
          <w:rFonts w:ascii="Times New Roman" w:hAnsi="Times New Roman" w:cs="Times New Roman"/>
          <w:b/>
          <w:bCs/>
          <w:sz w:val="24"/>
          <w:szCs w:val="24"/>
        </w:rPr>
        <w:t>351</w:t>
      </w:r>
    </w:p>
    <w:p w14:paraId="7A2520B6" w14:textId="77777777" w:rsidR="00451F69" w:rsidRPr="00451F69" w:rsidRDefault="002A35E6" w:rsidP="00451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33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51F69" w:rsidRPr="00451F69">
        <w:rPr>
          <w:rFonts w:ascii="Times New Roman" w:hAnsi="Times New Roman" w:cs="Times New Roman"/>
          <w:b/>
          <w:bCs/>
          <w:sz w:val="24"/>
          <w:szCs w:val="24"/>
        </w:rPr>
        <w:t xml:space="preserve">Sicurezza Nutrizionale – Dieta Mediterranea e </w:t>
      </w:r>
      <w:proofErr w:type="spellStart"/>
      <w:r w:rsidR="00451F69" w:rsidRPr="00451F69">
        <w:rPr>
          <w:rFonts w:ascii="Times New Roman" w:hAnsi="Times New Roman" w:cs="Times New Roman"/>
          <w:b/>
          <w:bCs/>
          <w:sz w:val="24"/>
          <w:szCs w:val="24"/>
        </w:rPr>
        <w:t>Novel</w:t>
      </w:r>
      <w:proofErr w:type="spellEnd"/>
      <w:r w:rsidR="00451F69" w:rsidRPr="00451F69">
        <w:rPr>
          <w:rFonts w:ascii="Times New Roman" w:hAnsi="Times New Roman" w:cs="Times New Roman"/>
          <w:b/>
          <w:bCs/>
          <w:sz w:val="24"/>
          <w:szCs w:val="24"/>
        </w:rPr>
        <w:t xml:space="preserve"> Food – Un complesso equilibrio”</w:t>
      </w:r>
    </w:p>
    <w:p w14:paraId="7D64EA4A" w14:textId="77777777" w:rsidR="00451F69" w:rsidRPr="00451F69" w:rsidRDefault="00451F69" w:rsidP="00451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F69">
        <w:rPr>
          <w:rFonts w:ascii="Times New Roman" w:hAnsi="Times New Roman" w:cs="Times New Roman"/>
          <w:b/>
          <w:bCs/>
          <w:sz w:val="24"/>
          <w:szCs w:val="24"/>
        </w:rPr>
        <w:t xml:space="preserve">Cittadella della Salute </w:t>
      </w:r>
    </w:p>
    <w:p w14:paraId="5A033E22" w14:textId="47F33F7F" w:rsidR="002A35E6" w:rsidRPr="00013336" w:rsidRDefault="00451F69" w:rsidP="00451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51F69"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GIUGNO</w:t>
      </w:r>
      <w:proofErr w:type="gramEnd"/>
      <w:r w:rsidRPr="00451F6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31D41947" w14:textId="77777777" w:rsidR="00451F69" w:rsidRDefault="00451F69" w:rsidP="00EB3FD4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 w:rsidRPr="00451F69">
        <w:rPr>
          <w:rFonts w:ascii="Times New Roman" w:hAnsi="Times New Roman" w:cs="Times New Roman"/>
          <w:sz w:val="24"/>
          <w:szCs w:val="24"/>
        </w:rPr>
        <w:t xml:space="preserve">Per quanto riguarda la sicurezza del consumatore, per un sistema alimentare equo sano e rispettoso dell’ambiente, il Piano regionale della prevenzione 2020/2025 si pone l’obiettivo di rafforzare e migliorare il sistema di tutela della sicurezza alimentare, mantenendo, implementando e rafforzando tutte le azioni e gli interventi attuati in un’ottica di prevenzione dell’insorgenza delle malattie e di promozione della salute. Gli obiettivi sono ampi e diversificati e prevedono, tra l’altro la promozione della Dieta Mediterranea in collaborazione col </w:t>
      </w:r>
      <w:proofErr w:type="spellStart"/>
      <w:r w:rsidRPr="00451F69">
        <w:rPr>
          <w:rFonts w:ascii="Times New Roman" w:hAnsi="Times New Roman" w:cs="Times New Roman"/>
          <w:sz w:val="24"/>
          <w:szCs w:val="24"/>
        </w:rPr>
        <w:t>TaRSiN</w:t>
      </w:r>
      <w:proofErr w:type="spellEnd"/>
      <w:r w:rsidRPr="00451F69">
        <w:rPr>
          <w:rFonts w:ascii="Times New Roman" w:hAnsi="Times New Roman" w:cs="Times New Roman"/>
          <w:sz w:val="24"/>
          <w:szCs w:val="24"/>
        </w:rPr>
        <w:t xml:space="preserve"> (Tavolo tecnico regionale sulla sicurezza nutrizionale e lo </w:t>
      </w:r>
      <w:proofErr w:type="spellStart"/>
      <w:r w:rsidRPr="00451F69">
        <w:rPr>
          <w:rFonts w:ascii="Times New Roman" w:hAnsi="Times New Roman" w:cs="Times New Roman"/>
          <w:sz w:val="24"/>
          <w:szCs w:val="24"/>
        </w:rPr>
        <w:t>SViMed</w:t>
      </w:r>
      <w:proofErr w:type="spellEnd"/>
      <w:r w:rsidRPr="00451F69">
        <w:rPr>
          <w:rFonts w:ascii="Times New Roman" w:hAnsi="Times New Roman" w:cs="Times New Roman"/>
          <w:sz w:val="24"/>
          <w:szCs w:val="24"/>
        </w:rPr>
        <w:t xml:space="preserve"> (Tavolo Tecnico Regionale per la promozione dello stile di vita mediterraneo). La dieta mediterranea è un insieme di pratiche tradizionali, conoscenze e competenze che vanno dal paesaggio all’alimentazione, includendo le colture, la raccolta, la pesca, la conservazione, la trasformazione, la preparazione </w:t>
      </w:r>
      <w:proofErr w:type="gramStart"/>
      <w:r w:rsidRPr="00451F69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451F69">
        <w:rPr>
          <w:rFonts w:ascii="Times New Roman" w:hAnsi="Times New Roman" w:cs="Times New Roman"/>
          <w:sz w:val="24"/>
          <w:szCs w:val="24"/>
        </w:rPr>
        <w:t xml:space="preserve">, in particolare, il consumo di cibo caratterizzato da un modello nutrizionale rimasto costante nel tempo e nello spazio, tramandato da generazione in generazione, che costituisce un senso di appartenenza e di continuità nelle popolazioni coinvolte. Tale modello alimentare, basato su varietà e stagionalità, favorisce il consumo prevalente di alimenti di origine vegetale ed è caratterizzato da un elevato consumo di frutta e verdura, cereali (specie se integrali), legumi, olio di oliva e frutta secca, da un moderato consumo di pesce, carne bianca, uova, latte e derivati, infine, da un consumo limitato di carne rossa, carne processata e dolciumi. Di contro a quanto sopra esposto il Regolamento (UE) 2015/2283 sui </w:t>
      </w:r>
      <w:proofErr w:type="spellStart"/>
      <w:r w:rsidRPr="00451F69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451F69">
        <w:rPr>
          <w:rFonts w:ascii="Times New Roman" w:hAnsi="Times New Roman" w:cs="Times New Roman"/>
          <w:sz w:val="24"/>
          <w:szCs w:val="24"/>
        </w:rPr>
        <w:t xml:space="preserve"> Food che abroga il precedente Regolamento (CE) n. 258 del 1997, che disciplina i cosiddetti “</w:t>
      </w:r>
      <w:proofErr w:type="spellStart"/>
      <w:r w:rsidRPr="00451F69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451F69">
        <w:rPr>
          <w:rFonts w:ascii="Times New Roman" w:hAnsi="Times New Roman" w:cs="Times New Roman"/>
          <w:sz w:val="24"/>
          <w:szCs w:val="24"/>
        </w:rPr>
        <w:t xml:space="preserve"> food”, che ha come obiettivo da un lato la garanzia del funzionamento del mercato interno di questi prodotti alimentare e dall’altro la protezione della salute pubblica contro i rischi che questi possono generare.</w:t>
      </w:r>
    </w:p>
    <w:p w14:paraId="3AA270D8" w14:textId="509CFE49" w:rsidR="00013336" w:rsidRPr="00074042" w:rsidRDefault="00013336" w:rsidP="00EB3FD4">
      <w:pPr>
        <w:ind w:left="-283" w:right="-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42">
        <w:rPr>
          <w:rFonts w:ascii="Times New Roman" w:hAnsi="Times New Roman" w:cs="Times New Roman"/>
          <w:b/>
          <w:bCs/>
          <w:sz w:val="24"/>
          <w:szCs w:val="24"/>
        </w:rPr>
        <w:t>Data e sede</w:t>
      </w:r>
    </w:p>
    <w:p w14:paraId="0B5DD48A" w14:textId="77777777" w:rsidR="00451F69" w:rsidRDefault="00013336" w:rsidP="00451F69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 w:rsidRPr="00013336">
        <w:rPr>
          <w:rFonts w:ascii="Times New Roman" w:hAnsi="Times New Roman" w:cs="Times New Roman"/>
          <w:sz w:val="24"/>
          <w:szCs w:val="24"/>
        </w:rPr>
        <w:t>Il corso si svolgerà</w:t>
      </w:r>
      <w:r w:rsidR="000F6F1D">
        <w:rPr>
          <w:rFonts w:ascii="Times New Roman" w:hAnsi="Times New Roman" w:cs="Times New Roman"/>
          <w:sz w:val="24"/>
          <w:szCs w:val="24"/>
        </w:rPr>
        <w:t>:</w:t>
      </w:r>
      <w:bookmarkStart w:id="0" w:name="_Hlk190271987"/>
    </w:p>
    <w:p w14:paraId="0C488165" w14:textId="3586B1C0" w:rsidR="00013336" w:rsidRPr="00451F69" w:rsidRDefault="00451F69" w:rsidP="00451F69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 w:rsidRPr="00451F69">
        <w:rPr>
          <w:rFonts w:ascii="Times New Roman" w:hAnsi="Times New Roman" w:cs="Times New Roman"/>
          <w:sz w:val="24"/>
          <w:szCs w:val="24"/>
        </w:rPr>
        <w:t>19 giugno</w:t>
      </w:r>
      <w:r w:rsidR="000F6F1D" w:rsidRPr="00451F69">
        <w:rPr>
          <w:rFonts w:ascii="Times New Roman" w:hAnsi="Times New Roman" w:cs="Times New Roman"/>
          <w:sz w:val="24"/>
          <w:szCs w:val="24"/>
        </w:rPr>
        <w:t xml:space="preserve"> </w:t>
      </w:r>
      <w:r w:rsidR="00013336" w:rsidRPr="00451F69">
        <w:rPr>
          <w:rFonts w:ascii="Times New Roman" w:hAnsi="Times New Roman" w:cs="Times New Roman"/>
          <w:sz w:val="24"/>
          <w:szCs w:val="24"/>
        </w:rPr>
        <w:t xml:space="preserve">Cittadella della Salute -Erice </w:t>
      </w:r>
      <w:r w:rsidR="008D5690" w:rsidRPr="00451F69">
        <w:rPr>
          <w:rFonts w:ascii="Times New Roman" w:hAnsi="Times New Roman" w:cs="Times New Roman"/>
          <w:sz w:val="24"/>
          <w:szCs w:val="24"/>
        </w:rPr>
        <w:t xml:space="preserve">Palazzo Quercia </w:t>
      </w:r>
      <w:r w:rsidR="00013336" w:rsidRPr="00451F69">
        <w:rPr>
          <w:rFonts w:ascii="Times New Roman" w:hAnsi="Times New Roman" w:cs="Times New Roman"/>
          <w:sz w:val="24"/>
          <w:szCs w:val="24"/>
        </w:rPr>
        <w:t>(TP)</w:t>
      </w:r>
    </w:p>
    <w:bookmarkEnd w:id="0"/>
    <w:p w14:paraId="20225706" w14:textId="12E36D0B" w:rsidR="00A034BB" w:rsidRDefault="00A034BB" w:rsidP="00A034BB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operazioni di registrazione dei partecipanti saranno effettuate a partire dalle ore 08.30, come indicato nel programma del corso, ed entro l’orario di avvio, dopo non sarà più possibile registrarsi.</w:t>
      </w:r>
    </w:p>
    <w:p w14:paraId="16FEFFEC" w14:textId="008C409C" w:rsidR="00074042" w:rsidRPr="00074042" w:rsidRDefault="00074042" w:rsidP="00A034BB">
      <w:pPr>
        <w:ind w:left="-283" w:right="-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42">
        <w:rPr>
          <w:rFonts w:ascii="Times New Roman" w:hAnsi="Times New Roman" w:cs="Times New Roman"/>
          <w:b/>
          <w:bCs/>
          <w:sz w:val="24"/>
          <w:szCs w:val="24"/>
        </w:rPr>
        <w:t>Destinatari</w:t>
      </w:r>
    </w:p>
    <w:p w14:paraId="6EA8C000" w14:textId="7C4B7C14" w:rsidR="00074042" w:rsidRPr="000824C6" w:rsidRDefault="00A25D81" w:rsidP="000740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5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 </w:t>
      </w:r>
      <w:r w:rsidR="00451F69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25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operatori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25D81">
        <w:rPr>
          <w:rFonts w:ascii="Times New Roman" w:hAnsi="Times New Roman" w:cs="Times New Roman"/>
          <w:bCs/>
          <w:color w:val="000000"/>
          <w:sz w:val="24"/>
          <w:szCs w:val="24"/>
        </w:rPr>
        <w:t>Medici Chirurghi (SIAN e LSP), Tecnici della Prevenzione nell’ambiente e nei luoghi di lavoro (SIAN), Personale sanitario del Laboratorio di Sanità Pubblica (Chimico, Biologo, Tecnico sanitario laboratorio biomedico)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4042" w:rsidRPr="000824C6">
        <w:rPr>
          <w:rFonts w:ascii="Times New Roman" w:hAnsi="Times New Roman" w:cs="Times New Roman"/>
          <w:bCs/>
          <w:color w:val="000000"/>
          <w:sz w:val="24"/>
          <w:szCs w:val="24"/>
        </w:rPr>
        <w:t>dell’A.S.P. di Trapani individuati dalle direzioni di competenza</w:t>
      </w:r>
    </w:p>
    <w:p w14:paraId="0CD4585A" w14:textId="61ECD27B" w:rsidR="00074042" w:rsidRPr="000824C6" w:rsidRDefault="00074042" w:rsidP="00A034BB">
      <w:pPr>
        <w:ind w:left="-283" w:right="-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4C6">
        <w:rPr>
          <w:rFonts w:ascii="Times New Roman" w:hAnsi="Times New Roman" w:cs="Times New Roman"/>
          <w:b/>
          <w:bCs/>
          <w:sz w:val="24"/>
          <w:szCs w:val="24"/>
        </w:rPr>
        <w:t>Evento accreditato ECM</w:t>
      </w:r>
    </w:p>
    <w:p w14:paraId="24892883" w14:textId="55666263" w:rsidR="000824C6" w:rsidRDefault="00074042" w:rsidP="000824C6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L’ASP Trapani, in qualità di provider ECM, ha accreditato l’evento al n.</w:t>
      </w:r>
      <w:r w:rsidR="006B00B2">
        <w:rPr>
          <w:rFonts w:ascii="Times New Roman" w:hAnsi="Times New Roman" w:cs="Times New Roman"/>
          <w:sz w:val="24"/>
          <w:szCs w:val="24"/>
        </w:rPr>
        <w:t xml:space="preserve"> 290/</w:t>
      </w:r>
      <w:r w:rsidR="000F6F1D" w:rsidRPr="000F6F1D">
        <w:rPr>
          <w:rFonts w:ascii="Times New Roman" w:hAnsi="Times New Roman" w:cs="Times New Roman"/>
          <w:sz w:val="24"/>
          <w:szCs w:val="24"/>
        </w:rPr>
        <w:t>11</w:t>
      </w:r>
      <w:r w:rsidR="00451F69">
        <w:rPr>
          <w:rFonts w:ascii="Times New Roman" w:hAnsi="Times New Roman" w:cs="Times New Roman"/>
          <w:sz w:val="24"/>
          <w:szCs w:val="24"/>
        </w:rPr>
        <w:t>251</w:t>
      </w:r>
      <w:r w:rsidR="006B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n.</w:t>
      </w:r>
      <w:r w:rsidR="000F6F1D">
        <w:rPr>
          <w:rFonts w:ascii="Times New Roman" w:hAnsi="Times New Roman" w:cs="Times New Roman"/>
          <w:sz w:val="24"/>
          <w:szCs w:val="24"/>
        </w:rPr>
        <w:t xml:space="preserve"> </w:t>
      </w:r>
      <w:r w:rsidR="006B00B2">
        <w:rPr>
          <w:rFonts w:ascii="Times New Roman" w:hAnsi="Times New Roman" w:cs="Times New Roman"/>
          <w:sz w:val="24"/>
          <w:szCs w:val="24"/>
        </w:rPr>
        <w:t>8</w:t>
      </w:r>
      <w:r w:rsidR="0045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crediti formativi per </w:t>
      </w:r>
      <w:r w:rsidR="000824C6">
        <w:rPr>
          <w:rFonts w:ascii="Times New Roman" w:hAnsi="Times New Roman" w:cs="Times New Roman"/>
          <w:sz w:val="24"/>
          <w:szCs w:val="24"/>
        </w:rPr>
        <w:t xml:space="preserve">tutte </w:t>
      </w:r>
      <w:r>
        <w:rPr>
          <w:rFonts w:ascii="Times New Roman" w:hAnsi="Times New Roman" w:cs="Times New Roman"/>
          <w:sz w:val="24"/>
          <w:szCs w:val="24"/>
        </w:rPr>
        <w:t>le professioni e discipline</w:t>
      </w:r>
      <w:r w:rsidR="000824C6">
        <w:rPr>
          <w:rFonts w:ascii="Times New Roman" w:hAnsi="Times New Roman" w:cs="Times New Roman"/>
          <w:sz w:val="24"/>
          <w:szCs w:val="24"/>
        </w:rPr>
        <w:t>.</w:t>
      </w:r>
    </w:p>
    <w:p w14:paraId="3336240E" w14:textId="77777777" w:rsidR="000824C6" w:rsidRDefault="00074042" w:rsidP="000824C6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l’attribuzione dei crediti ECM è necessaria la frequenza del 100% delle ore di formazione previste, il superamento della prova di apprendimento e la compilazione della scheda di valutazione Evento/Docenti</w:t>
      </w:r>
    </w:p>
    <w:p w14:paraId="4B9D0387" w14:textId="77777777" w:rsidR="00451F69" w:rsidRDefault="00451F69" w:rsidP="000824C6">
      <w:pPr>
        <w:ind w:left="-283" w:right="-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C680A" w14:textId="29AF780B" w:rsidR="000824C6" w:rsidRDefault="00074042" w:rsidP="000824C6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 w:rsidRPr="00074042">
        <w:rPr>
          <w:rFonts w:ascii="Times New Roman" w:hAnsi="Times New Roman" w:cs="Times New Roman"/>
          <w:b/>
          <w:bCs/>
          <w:sz w:val="24"/>
          <w:szCs w:val="24"/>
        </w:rPr>
        <w:lastRenderedPageBreak/>
        <w:t>Tipologia di corso</w:t>
      </w:r>
    </w:p>
    <w:p w14:paraId="5D9B85BD" w14:textId="2F5BDDE5" w:rsidR="00074042" w:rsidRDefault="00074042" w:rsidP="000824C6">
      <w:pPr>
        <w:ind w:left="-283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0A877B16" w14:textId="52A8E5D0" w:rsidR="00074042" w:rsidRDefault="00074042" w:rsidP="00A25D81">
      <w:pPr>
        <w:ind w:right="-283"/>
        <w:jc w:val="both"/>
      </w:pPr>
      <w:r>
        <w:rPr>
          <w:rFonts w:ascii="Times New Roman" w:hAnsi="Times New Roman" w:cs="Times New Roman"/>
          <w:sz w:val="24"/>
          <w:szCs w:val="24"/>
        </w:rPr>
        <w:t>Si allega programma dell’evento</w:t>
      </w:r>
    </w:p>
    <w:sectPr w:rsidR="00074042" w:rsidSect="00451F6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724A6"/>
    <w:multiLevelType w:val="hybridMultilevel"/>
    <w:tmpl w:val="76E6F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7774"/>
    <w:multiLevelType w:val="hybridMultilevel"/>
    <w:tmpl w:val="03FC17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7B4C561C"/>
    <w:multiLevelType w:val="hybridMultilevel"/>
    <w:tmpl w:val="59AEBE76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292950039">
    <w:abstractNumId w:val="1"/>
  </w:num>
  <w:num w:numId="2" w16cid:durableId="1557275899">
    <w:abstractNumId w:val="2"/>
  </w:num>
  <w:num w:numId="3" w16cid:durableId="15954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FA"/>
    <w:rsid w:val="00013336"/>
    <w:rsid w:val="00074042"/>
    <w:rsid w:val="000824C6"/>
    <w:rsid w:val="000F6F1D"/>
    <w:rsid w:val="00103A30"/>
    <w:rsid w:val="00134607"/>
    <w:rsid w:val="002A35E6"/>
    <w:rsid w:val="00451F69"/>
    <w:rsid w:val="00475408"/>
    <w:rsid w:val="004D72FA"/>
    <w:rsid w:val="00542E48"/>
    <w:rsid w:val="00593A42"/>
    <w:rsid w:val="005F4756"/>
    <w:rsid w:val="00651978"/>
    <w:rsid w:val="006B00B2"/>
    <w:rsid w:val="006F49AF"/>
    <w:rsid w:val="008D5690"/>
    <w:rsid w:val="00A034BB"/>
    <w:rsid w:val="00A25D81"/>
    <w:rsid w:val="00A4122F"/>
    <w:rsid w:val="00B83477"/>
    <w:rsid w:val="00B87EE7"/>
    <w:rsid w:val="00BB7C2B"/>
    <w:rsid w:val="00D47227"/>
    <w:rsid w:val="00D6196A"/>
    <w:rsid w:val="00E95FB4"/>
    <w:rsid w:val="00EB3FD4"/>
    <w:rsid w:val="00EB4E47"/>
    <w:rsid w:val="00F57DBB"/>
    <w:rsid w:val="00FD2B95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4635"/>
  <w15:chartTrackingRefBased/>
  <w15:docId w15:val="{38F08D36-AA09-424D-9EDB-96C54F5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7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7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7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7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7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72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72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72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72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72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72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7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72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72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72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7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72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7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 PASQUALE</dc:creator>
  <cp:keywords/>
  <dc:description/>
  <cp:lastModifiedBy>Formazione</cp:lastModifiedBy>
  <cp:revision>3</cp:revision>
  <dcterms:created xsi:type="dcterms:W3CDTF">2025-06-11T15:49:00Z</dcterms:created>
  <dcterms:modified xsi:type="dcterms:W3CDTF">2025-06-11T15:51:00Z</dcterms:modified>
</cp:coreProperties>
</file>