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4554" w14:textId="77777777" w:rsidR="00496867" w:rsidRPr="00EA18E4" w:rsidRDefault="00496867" w:rsidP="007822A3">
      <w:pPr>
        <w:jc w:val="center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COMUNICATO WEB</w:t>
      </w:r>
    </w:p>
    <w:p w14:paraId="09CF585F" w14:textId="35E6D5B9" w:rsidR="00496867" w:rsidRPr="00EA18E4" w:rsidRDefault="00496867" w:rsidP="00B27428">
      <w:pPr>
        <w:jc w:val="center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Corso di formazione</w:t>
      </w:r>
      <w:r w:rsidR="00B27428" w:rsidRPr="00EA18E4">
        <w:rPr>
          <w:rFonts w:cstheme="minorHAnsi"/>
          <w:sz w:val="24"/>
          <w:szCs w:val="24"/>
        </w:rPr>
        <w:t xml:space="preserve"> - </w:t>
      </w:r>
      <w:r w:rsidRPr="00EA18E4">
        <w:rPr>
          <w:rFonts w:cstheme="minorHAnsi"/>
          <w:sz w:val="24"/>
          <w:szCs w:val="24"/>
        </w:rPr>
        <w:t>ECM</w:t>
      </w:r>
      <w:r w:rsidR="007822A3" w:rsidRPr="00EA18E4">
        <w:rPr>
          <w:rFonts w:cstheme="minorHAnsi"/>
          <w:sz w:val="24"/>
          <w:szCs w:val="24"/>
        </w:rPr>
        <w:t xml:space="preserve"> 12</w:t>
      </w:r>
      <w:r w:rsidR="00EA18E4" w:rsidRPr="00EA18E4">
        <w:rPr>
          <w:rFonts w:cstheme="minorHAnsi"/>
          <w:sz w:val="24"/>
          <w:szCs w:val="24"/>
        </w:rPr>
        <w:t>174</w:t>
      </w:r>
      <w:r w:rsidR="007822A3" w:rsidRPr="00EA18E4">
        <w:rPr>
          <w:rFonts w:cstheme="minorHAnsi"/>
          <w:sz w:val="24"/>
          <w:szCs w:val="24"/>
        </w:rPr>
        <w:t>/290</w:t>
      </w:r>
    </w:p>
    <w:p w14:paraId="0ADE2E0E" w14:textId="77777777" w:rsidR="00EA18E4" w:rsidRPr="00EA18E4" w:rsidRDefault="00EA18E4" w:rsidP="007822A3">
      <w:pPr>
        <w:jc w:val="center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 xml:space="preserve">“Comprendere il referto istologico: aggiornamenti sul tema e nuovi concetti” </w:t>
      </w:r>
    </w:p>
    <w:p w14:paraId="3E748163" w14:textId="75459E7E" w:rsidR="00496867" w:rsidRPr="00EA18E4" w:rsidRDefault="00496867" w:rsidP="007822A3">
      <w:pPr>
        <w:jc w:val="center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>Cittadella della Salute –Erice (TP)</w:t>
      </w:r>
    </w:p>
    <w:p w14:paraId="0EC3F9BF" w14:textId="77777777" w:rsidR="00EA18E4" w:rsidRPr="00EA18E4" w:rsidRDefault="00EA18E4" w:rsidP="00EA18E4">
      <w:pPr>
        <w:jc w:val="center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>14 maggio 2026</w:t>
      </w:r>
    </w:p>
    <w:p w14:paraId="637D2A51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I termini tecnici contenuti in un referto istologico sono spesso ultraspecialistici e la combinazione di essi definisce la diagnosi finale.</w:t>
      </w:r>
    </w:p>
    <w:p w14:paraId="53CD4DA6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Sulla base del referto istologico si può comprendere la condizione del paziente e si possono adottare le scelte terapeutiche più appropriate. La descrizione macroscopica, microscopica e diagnosi rappresentano le varie sezioni in cui è diviso il referto.</w:t>
      </w:r>
    </w:p>
    <w:p w14:paraId="0628CC8C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La diagnosi finale nel caso di patologie neoplastiche contiene una serie di informazioni utili a definire lo stato della malattia.</w:t>
      </w:r>
    </w:p>
    <w:p w14:paraId="663BD845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A parità di diagnosi i parametri prognostici e predittivi possono cambiare e le nuove conoscenze possono aggiungerne di nuove.</w:t>
      </w:r>
    </w:p>
    <w:p w14:paraId="3DBFA4FF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Di fatto la pratica medica in generale è un work in progress estremamente dinamico ed il corso vuole rappresentare un momento di confronto tra chi le malattie le vede attraverso il microscopio e chi prende le decisioni terapeutiche.</w:t>
      </w:r>
    </w:p>
    <w:p w14:paraId="40298EE3" w14:textId="027AD811" w:rsidR="007822A3" w:rsidRPr="00EA18E4" w:rsidRDefault="00496867" w:rsidP="00EA18E4">
      <w:pPr>
        <w:jc w:val="both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 xml:space="preserve">Data e sede: </w:t>
      </w:r>
    </w:p>
    <w:p w14:paraId="529BBDB6" w14:textId="4D422C82" w:rsidR="00496867" w:rsidRPr="00EA18E4" w:rsidRDefault="00EA18E4" w:rsidP="00B27428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14</w:t>
      </w:r>
      <w:r w:rsidR="00496867" w:rsidRPr="00EA18E4">
        <w:rPr>
          <w:rFonts w:cstheme="minorHAnsi"/>
          <w:sz w:val="24"/>
          <w:szCs w:val="24"/>
        </w:rPr>
        <w:t xml:space="preserve"> </w:t>
      </w:r>
      <w:r w:rsidRPr="00EA18E4">
        <w:rPr>
          <w:rFonts w:cstheme="minorHAnsi"/>
          <w:sz w:val="24"/>
          <w:szCs w:val="24"/>
        </w:rPr>
        <w:t>maggio</w:t>
      </w:r>
      <w:r w:rsidR="00496867" w:rsidRPr="00EA18E4">
        <w:rPr>
          <w:rFonts w:cstheme="minorHAnsi"/>
          <w:sz w:val="24"/>
          <w:szCs w:val="24"/>
        </w:rPr>
        <w:t xml:space="preserve"> 2026 Cittadella della Salute –Erice (TP)</w:t>
      </w:r>
      <w:r w:rsidR="00F004F8" w:rsidRPr="00EA18E4">
        <w:rPr>
          <w:rFonts w:cstheme="minorHAnsi"/>
          <w:sz w:val="24"/>
          <w:szCs w:val="24"/>
        </w:rPr>
        <w:t xml:space="preserve"> dalle 08.</w:t>
      </w:r>
      <w:r w:rsidRPr="00EA18E4">
        <w:rPr>
          <w:rFonts w:cstheme="minorHAnsi"/>
          <w:sz w:val="24"/>
          <w:szCs w:val="24"/>
        </w:rPr>
        <w:t>3</w:t>
      </w:r>
      <w:r w:rsidR="00F004F8" w:rsidRPr="00EA18E4">
        <w:rPr>
          <w:rFonts w:cstheme="minorHAnsi"/>
          <w:sz w:val="24"/>
          <w:szCs w:val="24"/>
        </w:rPr>
        <w:t>0 alle 18.00</w:t>
      </w:r>
    </w:p>
    <w:p w14:paraId="4644F7DE" w14:textId="29E42BF8" w:rsidR="00496867" w:rsidRPr="00EA18E4" w:rsidRDefault="00496867" w:rsidP="00B27428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>Destinatari</w:t>
      </w:r>
      <w:r w:rsidRPr="00EA18E4">
        <w:rPr>
          <w:rFonts w:cstheme="minorHAnsi"/>
          <w:sz w:val="24"/>
          <w:szCs w:val="24"/>
        </w:rPr>
        <w:t xml:space="preserve">: </w:t>
      </w:r>
    </w:p>
    <w:p w14:paraId="7DE3455F" w14:textId="4FC7A831" w:rsidR="00EA18E4" w:rsidRPr="00EA18E4" w:rsidRDefault="00EA18E4" w:rsidP="00B2742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N. 50 fra </w:t>
      </w:r>
      <w:r w:rsidRPr="00EA18E4">
        <w:rPr>
          <w:rFonts w:cstheme="minorHAnsi"/>
          <w:sz w:val="24"/>
          <w:szCs w:val="24"/>
        </w:rPr>
        <w:t xml:space="preserve">Dirigenti Medici Ospedalieri e Territoriali, Medici di Medicina Generale, Biologi, Infermieri e Tecnici di Laboratorio Biomedico dipendenti e convenzionati dell’ASP di Trapani </w:t>
      </w:r>
    </w:p>
    <w:p w14:paraId="74A6F083" w14:textId="23292E55" w:rsidR="00496867" w:rsidRPr="00EA18E4" w:rsidRDefault="00496867" w:rsidP="00B27428">
      <w:pPr>
        <w:jc w:val="both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t xml:space="preserve">Accreditamento ECM:  </w:t>
      </w:r>
    </w:p>
    <w:p w14:paraId="6B2BE59D" w14:textId="043186C2" w:rsidR="00496867" w:rsidRPr="00EA18E4" w:rsidRDefault="00496867" w:rsidP="00B27428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 xml:space="preserve">L’ASP Trapani, in qualità di provider ECM, </w:t>
      </w:r>
      <w:r w:rsidR="007822A3" w:rsidRPr="00EA18E4">
        <w:rPr>
          <w:rFonts w:cstheme="minorHAnsi"/>
          <w:sz w:val="24"/>
          <w:szCs w:val="24"/>
        </w:rPr>
        <w:t xml:space="preserve">ha </w:t>
      </w:r>
      <w:r w:rsidRPr="00EA18E4">
        <w:rPr>
          <w:rFonts w:cstheme="minorHAnsi"/>
          <w:sz w:val="24"/>
          <w:szCs w:val="24"/>
        </w:rPr>
        <w:t>accredit</w:t>
      </w:r>
      <w:r w:rsidR="007822A3" w:rsidRPr="00EA18E4">
        <w:rPr>
          <w:rFonts w:cstheme="minorHAnsi"/>
          <w:sz w:val="24"/>
          <w:szCs w:val="24"/>
        </w:rPr>
        <w:t>ato</w:t>
      </w:r>
      <w:r w:rsidRPr="00EA18E4">
        <w:rPr>
          <w:rFonts w:cstheme="minorHAnsi"/>
          <w:sz w:val="24"/>
          <w:szCs w:val="24"/>
        </w:rPr>
        <w:t xml:space="preserve"> l’evento </w:t>
      </w:r>
      <w:r w:rsidR="007822A3" w:rsidRPr="00EA18E4">
        <w:rPr>
          <w:rFonts w:cstheme="minorHAnsi"/>
          <w:sz w:val="24"/>
          <w:szCs w:val="24"/>
        </w:rPr>
        <w:t>al numero 121</w:t>
      </w:r>
      <w:r w:rsidR="00EA18E4" w:rsidRPr="00EA18E4">
        <w:rPr>
          <w:rFonts w:cstheme="minorHAnsi"/>
          <w:sz w:val="24"/>
          <w:szCs w:val="24"/>
        </w:rPr>
        <w:t>74</w:t>
      </w:r>
      <w:r w:rsidR="007822A3" w:rsidRPr="00EA18E4">
        <w:rPr>
          <w:rFonts w:cstheme="minorHAnsi"/>
          <w:sz w:val="24"/>
          <w:szCs w:val="24"/>
        </w:rPr>
        <w:t xml:space="preserve">/290 con n. </w:t>
      </w:r>
      <w:r w:rsidR="009B51C8" w:rsidRPr="00EA18E4">
        <w:rPr>
          <w:rFonts w:cstheme="minorHAnsi"/>
          <w:sz w:val="24"/>
          <w:szCs w:val="24"/>
        </w:rPr>
        <w:t xml:space="preserve">8 crediti formativi </w:t>
      </w:r>
      <w:r w:rsidRPr="00EA18E4">
        <w:rPr>
          <w:rFonts w:cstheme="minorHAnsi"/>
          <w:sz w:val="24"/>
          <w:szCs w:val="24"/>
        </w:rPr>
        <w:t>per le seguenti professioni</w:t>
      </w:r>
      <w:r w:rsidR="009B51C8" w:rsidRPr="00EA18E4">
        <w:rPr>
          <w:rFonts w:cstheme="minorHAnsi"/>
          <w:sz w:val="24"/>
          <w:szCs w:val="24"/>
        </w:rPr>
        <w:t xml:space="preserve"> e discipline</w:t>
      </w:r>
      <w:r w:rsidRPr="00EA18E4">
        <w:rPr>
          <w:rFonts w:cstheme="minorHAnsi"/>
          <w:sz w:val="24"/>
          <w:szCs w:val="24"/>
        </w:rPr>
        <w:t>:</w:t>
      </w:r>
    </w:p>
    <w:p w14:paraId="0E14A715" w14:textId="588877ED" w:rsidR="00496867" w:rsidRPr="00EA18E4" w:rsidRDefault="00496867" w:rsidP="00B2742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18E4">
        <w:rPr>
          <w:rFonts w:asciiTheme="minorHAnsi" w:hAnsiTheme="minorHAnsi" w:cstheme="minorHAnsi"/>
          <w:sz w:val="24"/>
          <w:szCs w:val="24"/>
        </w:rPr>
        <w:t>Medico Chirurgo</w:t>
      </w:r>
    </w:p>
    <w:p w14:paraId="360CB24D" w14:textId="48D96C10" w:rsidR="00EA18E4" w:rsidRPr="00EA18E4" w:rsidRDefault="00EA18E4" w:rsidP="00B2742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18E4">
        <w:rPr>
          <w:rFonts w:asciiTheme="minorHAnsi" w:hAnsiTheme="minorHAnsi" w:cstheme="minorHAnsi"/>
          <w:sz w:val="24"/>
          <w:szCs w:val="24"/>
        </w:rPr>
        <w:t>Biologo</w:t>
      </w:r>
    </w:p>
    <w:p w14:paraId="495A8B99" w14:textId="77777777" w:rsidR="00496867" w:rsidRPr="00EA18E4" w:rsidRDefault="00496867" w:rsidP="00B2742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18E4">
        <w:rPr>
          <w:rFonts w:asciiTheme="minorHAnsi" w:hAnsiTheme="minorHAnsi" w:cstheme="minorHAnsi"/>
          <w:sz w:val="24"/>
          <w:szCs w:val="24"/>
        </w:rPr>
        <w:t>Infermiere</w:t>
      </w:r>
    </w:p>
    <w:p w14:paraId="31AA448D" w14:textId="19D6716C" w:rsidR="00496867" w:rsidRPr="00EA18E4" w:rsidRDefault="00EA18E4" w:rsidP="00B2742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18E4">
        <w:rPr>
          <w:rFonts w:asciiTheme="minorHAnsi" w:hAnsiTheme="minorHAnsi" w:cstheme="minorHAnsi"/>
          <w:sz w:val="24"/>
          <w:szCs w:val="24"/>
        </w:rPr>
        <w:t>Tecnico di Laboratorio Biomedico</w:t>
      </w:r>
    </w:p>
    <w:p w14:paraId="118B29AF" w14:textId="77777777" w:rsidR="00F004F8" w:rsidRPr="00EA18E4" w:rsidRDefault="00F004F8" w:rsidP="00B27428">
      <w:pPr>
        <w:jc w:val="both"/>
        <w:rPr>
          <w:rFonts w:cstheme="minorHAnsi"/>
          <w:sz w:val="24"/>
          <w:szCs w:val="24"/>
        </w:rPr>
      </w:pPr>
    </w:p>
    <w:p w14:paraId="1E1526A5" w14:textId="4A5DF4F5" w:rsidR="00496867" w:rsidRPr="00EA18E4" w:rsidRDefault="00496867" w:rsidP="00B27428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Per l’attribuzione dei crediti ECM è necessaria la frequenza del 100% delle ore di formazione previste, il superamento della prova di apprendimento e la compilazione della scheda di valutazione Evento/Docenti.</w:t>
      </w:r>
    </w:p>
    <w:p w14:paraId="27294558" w14:textId="77777777" w:rsidR="00B27428" w:rsidRPr="00EA18E4" w:rsidRDefault="00B27428" w:rsidP="00B27428">
      <w:pPr>
        <w:jc w:val="both"/>
        <w:rPr>
          <w:rFonts w:cstheme="minorHAnsi"/>
          <w:b/>
          <w:bCs/>
          <w:sz w:val="24"/>
          <w:szCs w:val="24"/>
        </w:rPr>
      </w:pPr>
      <w:r w:rsidRPr="00EA18E4">
        <w:rPr>
          <w:rFonts w:cstheme="minorHAnsi"/>
          <w:b/>
          <w:bCs/>
          <w:sz w:val="24"/>
          <w:szCs w:val="24"/>
        </w:rPr>
        <w:lastRenderedPageBreak/>
        <w:t xml:space="preserve">Tipologia di corso: </w:t>
      </w:r>
    </w:p>
    <w:p w14:paraId="6F04C045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Gli interessati possono iscriversi accedendo al Portale della Formazione dell’ASP di Trapani all’indirizzo:</w:t>
      </w:r>
    </w:p>
    <w:p w14:paraId="24510729" w14:textId="31CCA1FA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hyperlink r:id="rId5" w:history="1">
        <w:r w:rsidRPr="00EA18E4">
          <w:rPr>
            <w:rStyle w:val="Collegamentoipertestuale"/>
            <w:rFonts w:cstheme="minorHAnsi"/>
            <w:sz w:val="24"/>
            <w:szCs w:val="24"/>
          </w:rPr>
          <w:t>https://trapani.sailportal.it</w:t>
        </w:r>
      </w:hyperlink>
      <w:r w:rsidRPr="00EA18E4">
        <w:rPr>
          <w:rFonts w:cstheme="minorHAnsi"/>
          <w:sz w:val="24"/>
          <w:szCs w:val="24"/>
        </w:rPr>
        <w:t xml:space="preserve"> </w:t>
      </w:r>
    </w:p>
    <w:p w14:paraId="538C7F8B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Criterio di ammissione sarà l’ordine cronologico di arrivo delle richieste e la verifica da parte della Segreteria dei requisiti di partecipazione indicati nella pagina internet dedicata all’evento.</w:t>
      </w:r>
    </w:p>
    <w:p w14:paraId="5005D48E" w14:textId="7C0607AD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La conferma dell’ammissione all’evento formativo sarà comunicata per e-mail.</w:t>
      </w:r>
    </w:p>
    <w:p w14:paraId="0AB83C5B" w14:textId="1EAA9F60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Per i dipendenti dell’ASP Trapani trattasi di aggiornamento facoltativo da svolgere al di fuori dell’orario di lavoro; il dipendente può usufruire de</w:t>
      </w:r>
      <w:r w:rsidR="00B3403A">
        <w:rPr>
          <w:rFonts w:cstheme="minorHAnsi"/>
          <w:sz w:val="24"/>
          <w:szCs w:val="24"/>
        </w:rPr>
        <w:t>i</w:t>
      </w:r>
      <w:r w:rsidRPr="00EA18E4">
        <w:rPr>
          <w:rFonts w:cstheme="minorHAnsi"/>
          <w:sz w:val="24"/>
          <w:szCs w:val="24"/>
        </w:rPr>
        <w:t xml:space="preserve"> permess</w:t>
      </w:r>
      <w:r w:rsidR="00B3403A">
        <w:rPr>
          <w:rFonts w:cstheme="minorHAnsi"/>
          <w:sz w:val="24"/>
          <w:szCs w:val="24"/>
        </w:rPr>
        <w:t>i</w:t>
      </w:r>
      <w:r w:rsidRPr="00EA18E4">
        <w:rPr>
          <w:rFonts w:cstheme="minorHAnsi"/>
          <w:sz w:val="24"/>
          <w:szCs w:val="24"/>
        </w:rPr>
        <w:t xml:space="preserve"> retribuit</w:t>
      </w:r>
      <w:r w:rsidR="00B3403A">
        <w:rPr>
          <w:rFonts w:cstheme="minorHAnsi"/>
          <w:sz w:val="24"/>
          <w:szCs w:val="24"/>
        </w:rPr>
        <w:t>i</w:t>
      </w:r>
      <w:r w:rsidRPr="00EA18E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come normato dai </w:t>
      </w:r>
      <w:r w:rsidRPr="00EA18E4">
        <w:rPr>
          <w:rFonts w:cstheme="minorHAnsi"/>
          <w:sz w:val="24"/>
          <w:szCs w:val="24"/>
        </w:rPr>
        <w:t>vigenti CC.CC.NN.LL.</w:t>
      </w:r>
    </w:p>
    <w:p w14:paraId="58F030B2" w14:textId="2599F8FA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 xml:space="preserve">Sarà cura del dipendente come specificato dall’Art. 14 del Regolamento di Formazione Aziendale vigente, pubblicato sul sito web aziendale, chiedere la preventiva autorizzazione </w:t>
      </w:r>
      <w:r>
        <w:rPr>
          <w:rFonts w:cstheme="minorHAnsi"/>
          <w:sz w:val="24"/>
          <w:szCs w:val="24"/>
        </w:rPr>
        <w:t xml:space="preserve">per </w:t>
      </w:r>
      <w:r w:rsidRPr="00EA18E4">
        <w:rPr>
          <w:rFonts w:cstheme="minorHAnsi"/>
          <w:sz w:val="24"/>
          <w:szCs w:val="24"/>
        </w:rPr>
        <w:t>la partecipazione al Responsabile dell’U.O. di appartenenza e trasmettere il giustificativo dell’assenza all’Ufficio Rilevazione Presenze.</w:t>
      </w:r>
    </w:p>
    <w:p w14:paraId="001B269A" w14:textId="77777777" w:rsidR="00EA18E4" w:rsidRPr="00EA18E4" w:rsidRDefault="00EA18E4" w:rsidP="00EA18E4">
      <w:pPr>
        <w:jc w:val="both"/>
        <w:rPr>
          <w:rFonts w:cstheme="minorHAnsi"/>
          <w:sz w:val="24"/>
          <w:szCs w:val="24"/>
        </w:rPr>
      </w:pPr>
      <w:r w:rsidRPr="00EA18E4">
        <w:rPr>
          <w:rFonts w:cstheme="minorHAnsi"/>
          <w:sz w:val="24"/>
          <w:szCs w:val="24"/>
        </w:rPr>
        <w:t>Si allega programma dell’evento.</w:t>
      </w:r>
    </w:p>
    <w:p w14:paraId="33CE990F" w14:textId="49A6BABB" w:rsidR="00496867" w:rsidRPr="00EA18E4" w:rsidRDefault="00496867" w:rsidP="00B27428">
      <w:pPr>
        <w:jc w:val="both"/>
        <w:rPr>
          <w:rFonts w:cstheme="minorHAnsi"/>
        </w:rPr>
      </w:pPr>
    </w:p>
    <w:sectPr w:rsidR="00496867" w:rsidRPr="00EA1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7013"/>
    <w:multiLevelType w:val="hybridMultilevel"/>
    <w:tmpl w:val="B02AC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37229"/>
    <w:multiLevelType w:val="hybridMultilevel"/>
    <w:tmpl w:val="B0E03304"/>
    <w:lvl w:ilvl="0" w:tplc="7FD0AC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F2192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EFF2CBCA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9F26EDD8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198A0AF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25662E6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F52638A0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CA2A5C14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C778E080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num w:numId="1" w16cid:durableId="455372294">
    <w:abstractNumId w:val="1"/>
  </w:num>
  <w:num w:numId="2" w16cid:durableId="5333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7"/>
    <w:rsid w:val="0002252C"/>
    <w:rsid w:val="00114F73"/>
    <w:rsid w:val="00262E13"/>
    <w:rsid w:val="00380C72"/>
    <w:rsid w:val="00496867"/>
    <w:rsid w:val="004B3641"/>
    <w:rsid w:val="006B1A03"/>
    <w:rsid w:val="007365E2"/>
    <w:rsid w:val="007822A3"/>
    <w:rsid w:val="009B51C8"/>
    <w:rsid w:val="00B27428"/>
    <w:rsid w:val="00B3403A"/>
    <w:rsid w:val="00EA18E4"/>
    <w:rsid w:val="00F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AC2F"/>
  <w15:chartTrackingRefBased/>
  <w15:docId w15:val="{76642FF7-3CEB-4B83-B6D3-11B6010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867"/>
    <w:pPr>
      <w:suppressAutoHyphens/>
      <w:spacing w:after="200" w:line="276" w:lineRule="auto"/>
    </w:pPr>
    <w:rPr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496867"/>
    <w:pPr>
      <w:widowControl w:val="0"/>
      <w:suppressAutoHyphens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9686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86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6867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496867"/>
    <w:pPr>
      <w:widowControl w:val="0"/>
      <w:suppressAutoHyphens w:val="0"/>
      <w:autoSpaceDE w:val="0"/>
      <w:autoSpaceDN w:val="0"/>
      <w:spacing w:after="0" w:line="267" w:lineRule="exact"/>
      <w:ind w:left="861" w:hanging="360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A1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1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pani.sailport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LENTINI</dc:creator>
  <cp:keywords/>
  <dc:description/>
  <cp:lastModifiedBy>Monreale</cp:lastModifiedBy>
  <cp:revision>5</cp:revision>
  <dcterms:created xsi:type="dcterms:W3CDTF">2026-04-09T06:26:00Z</dcterms:created>
  <dcterms:modified xsi:type="dcterms:W3CDTF">2026-04-15T10:46:00Z</dcterms:modified>
</cp:coreProperties>
</file>