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C6843" w14:textId="77777777" w:rsidR="00F361D0" w:rsidRDefault="001539CD" w:rsidP="00F7277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>COMUNICATO WEB</w:t>
      </w:r>
    </w:p>
    <w:p w14:paraId="2ACD59ED" w14:textId="77777777" w:rsidR="00F72771" w:rsidRPr="00EA214E" w:rsidRDefault="00F72771" w:rsidP="00F7277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</w:pPr>
    </w:p>
    <w:p w14:paraId="75D8B864" w14:textId="2D448E90" w:rsidR="00F361D0" w:rsidRDefault="001539CD" w:rsidP="00F7277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>Corso di formazione ECM 290/12303</w:t>
      </w:r>
    </w:p>
    <w:p w14:paraId="76578815" w14:textId="77777777" w:rsidR="00F72771" w:rsidRPr="00EA214E" w:rsidRDefault="00F72771" w:rsidP="00F7277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</w:pPr>
    </w:p>
    <w:p w14:paraId="707909AD" w14:textId="77777777" w:rsidR="00D77C9C" w:rsidRDefault="00D77C9C" w:rsidP="004D2D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he-I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he-IL"/>
        </w:rPr>
        <w:t>“PERICARDIOCENTESI”</w:t>
      </w:r>
    </w:p>
    <w:p w14:paraId="48DF872C" w14:textId="77777777" w:rsidR="00D77C9C" w:rsidRDefault="00D77C9C" w:rsidP="004D2DB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</w:pPr>
    </w:p>
    <w:p w14:paraId="35C2D190" w14:textId="42802385" w:rsidR="00F72771" w:rsidRDefault="004D2DBC" w:rsidP="004D2DB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>8 giugno 2026 (I edizione) – 15 giugno 2026 (II edizione)</w:t>
      </w:r>
    </w:p>
    <w:p w14:paraId="3D0C46DD" w14:textId="77777777" w:rsidR="004D2DBC" w:rsidRDefault="004D2DBC" w:rsidP="00F727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</w:pPr>
    </w:p>
    <w:p w14:paraId="08C87F2E" w14:textId="5020E8BF" w:rsidR="004D2DBC" w:rsidRPr="00EA214E" w:rsidRDefault="00D77C9C" w:rsidP="00F727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>La pericardiocentesi è il drenaggio del liquido in eccesso dallo spazio pericardico. Ha una duplice funzione: terapeutica (risolutiva in caso di tamponamento cardiaco) e diagnostica (analisi della natura del versamento). L’intervento consiste nell’inserimento di un ago nel sacco pericardico, solitamente per via subxifoidea (sotto lo sterno). L’uso della guida ecografica è ormai lo standard per visualizzare il tragitto dell’ago in tempo reale, riducendo il rischio di complicazioni.</w:t>
      </w:r>
    </w:p>
    <w:p w14:paraId="188B388C" w14:textId="2F0820F7" w:rsidR="004D2DBC" w:rsidRDefault="00302147" w:rsidP="00F727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it-IT" w:bidi="he-I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 xml:space="preserve">Il drenaggio immediato ripristina la funzione di pompaggio del cuore, evitando il collasso circolatorio. Il liquido estratto viene analizzato per determinare la natura del versamento, i parametri cellulari e l’eziologia. I partecipanti al corso acquisiranno competenze teorico-pratiche e di processo essenziali per la gestione delle emergenze cardiologiche in tema di Pericardiocentesi.  </w:t>
      </w:r>
    </w:p>
    <w:p w14:paraId="2BFBAAA8" w14:textId="77777777" w:rsidR="00D77C9C" w:rsidRDefault="00D77C9C" w:rsidP="00F727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it-IT" w:bidi="he-IL"/>
        </w:rPr>
      </w:pPr>
    </w:p>
    <w:p w14:paraId="196E015D" w14:textId="65E5625E" w:rsidR="00F361D0" w:rsidRPr="00EA214E" w:rsidRDefault="001539CD" w:rsidP="00F727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it-IT" w:bidi="he-I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it-IT" w:bidi="he-IL"/>
        </w:rPr>
        <w:t xml:space="preserve">Data e sede: </w:t>
      </w:r>
    </w:p>
    <w:p w14:paraId="2C37055C" w14:textId="24831131" w:rsidR="00F361D0" w:rsidRPr="00EA214E" w:rsidRDefault="004D2DBC" w:rsidP="00F727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t-IT" w:bidi="he-IL"/>
        </w:rPr>
        <w:t>8 giugno 2026 (I edizione) e 15 giugno 2026 (II edizione) dalle 14.30 alle 18.15, presso la Cittadella della Salute – Erice (TP)</w:t>
      </w:r>
    </w:p>
    <w:p w14:paraId="55D55337" w14:textId="77777777" w:rsidR="00302147" w:rsidRPr="00EA214E" w:rsidRDefault="00302147" w:rsidP="00F727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  <w:lang w:eastAsia="it-IT" w:bidi="he-IL"/>
        </w:rPr>
      </w:pPr>
    </w:p>
    <w:p w14:paraId="73E6590B" w14:textId="77777777" w:rsidR="00F361D0" w:rsidRPr="00EA214E" w:rsidRDefault="001539CD" w:rsidP="00F727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it-IT" w:bidi="he-I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it-IT" w:bidi="he-IL"/>
        </w:rPr>
        <w:t xml:space="preserve">Destinatari: </w:t>
      </w:r>
    </w:p>
    <w:p w14:paraId="0ABBC966" w14:textId="3BE9939A" w:rsidR="00F72771" w:rsidRDefault="00D77C9C" w:rsidP="00F72771">
      <w:pPr>
        <w:spacing w:after="0" w:line="240" w:lineRule="auto"/>
        <w:jc w:val="both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Medici Chirurghi (specializzazione Anestesia e Rianimazione; Cardiologia) dell’A.S.P. Trapani. Saranno ammessi 25 partecipanti per edizione individuati dalle Direzioni Sanitarie di competenza.</w:t>
      </w:r>
    </w:p>
    <w:p w14:paraId="73156E6D" w14:textId="77777777" w:rsidR="00D77C9C" w:rsidRDefault="00D77C9C" w:rsidP="00F72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5BA894A" w14:textId="0DEE5190" w:rsidR="00F361D0" w:rsidRPr="00EA214E" w:rsidRDefault="001539CD" w:rsidP="00F72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Accreditamento ECM: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31CEAC" w14:textId="77777777" w:rsidR="00F361D0" w:rsidRPr="00EA214E" w:rsidRDefault="001539CD" w:rsidP="00F72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L’ASP Trapani, in qualità di provider ECM, ha accreditato l’evento al n. 290/12303 con n. 4,5 Crediti Formativi, per la seguente professione e disciplina:</w:t>
      </w:r>
    </w:p>
    <w:p w14:paraId="51D280D0" w14:textId="77777777" w:rsidR="00F361D0" w:rsidRPr="00EA214E" w:rsidRDefault="00F361D0" w:rsidP="00F72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Medico Chirurgo (specializzazione Anestesia e Rianimazione; Cardiologia)</w:t>
      </w:r>
    </w:p>
    <w:p w14:paraId="0E1428BC" w14:textId="77777777" w:rsidR="00D77C9C" w:rsidRDefault="00D77C9C" w:rsidP="00F72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5FC1C21" w14:textId="32CA1854" w:rsidR="00AD6036" w:rsidRPr="00EA214E" w:rsidRDefault="00AD6036" w:rsidP="00F72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Tipologia di corso:</w:t>
      </w:r>
    </w:p>
    <w:p w14:paraId="03CFD032" w14:textId="77777777" w:rsidR="00AD6036" w:rsidRPr="00EA214E" w:rsidRDefault="00AD6036" w:rsidP="00F72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Corso rientra nell’attività formativa obbligatoria ed è considerato servizio utile a tutti gli effetti; i partecipanti potranno frequentarlo digitando l’apposito codice “55 FORMAZIONE” sia in entrata che in uscita.</w:t>
      </w:r>
    </w:p>
    <w:p w14:paraId="5672B61A" w14:textId="77777777" w:rsidR="00AD6036" w:rsidRPr="00EA214E" w:rsidRDefault="00AD6036" w:rsidP="00F72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C0D62B" w14:textId="77777777" w:rsidR="00F361D0" w:rsidRPr="00EA214E" w:rsidRDefault="001539CD" w:rsidP="00F72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raccomanda la massima puntualità poiché, ai fini del riconoscimento dei crediti ECM, è necessaria la frequenza del 100% delle ore di formazione previste nonché il superamento della prova teorica e pratica di apprendimento e la compilazione delle schede di valutazione Evento e Docenti.</w:t>
      </w:r>
    </w:p>
    <w:p w14:paraId="27B7C842" w14:textId="77777777" w:rsidR="00886AC7" w:rsidRDefault="00886AC7" w:rsidP="00F72771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ja-JP" w:bidi="fa-IR"/>
        </w:rPr>
      </w:pPr>
    </w:p>
    <w:p w14:paraId="7BF6E493" w14:textId="39EBD784" w:rsidR="00F361D0" w:rsidRPr="00EA214E" w:rsidRDefault="001539CD" w:rsidP="00F72771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ja-JP" w:bidi="fa-IR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ja-JP" w:bidi="fa-IR"/>
        </w:rPr>
        <w:t>Le operazioni di registrazione dei partecipanti saranno effettuate come indicato nel programma del corso ed entro l’orario di avvio, dopo non sarà più possibile registrarsi.</w:t>
      </w:r>
    </w:p>
    <w:p w14:paraId="22086169" w14:textId="77777777" w:rsidR="00F72771" w:rsidRDefault="00F72771" w:rsidP="00F727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ABD2C3" w14:textId="6129F77D" w:rsidR="00F361D0" w:rsidRPr="00EA214E" w:rsidRDefault="001539CD" w:rsidP="00F727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 allega programma dell’evento.</w:t>
      </w:r>
    </w:p>
    <w:sectPr w:rsidR="00F361D0" w:rsidRPr="00EA214E" w:rsidSect="00DC7A50">
      <w:pgSz w:w="11906" w:h="16838"/>
      <w:pgMar w:top="851" w:right="1134" w:bottom="1134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F54A9"/>
    <w:multiLevelType w:val="multilevel"/>
    <w:tmpl w:val="2AA8D3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7A7D71"/>
    <w:multiLevelType w:val="hybridMultilevel"/>
    <w:tmpl w:val="6BA065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F52F5"/>
    <w:multiLevelType w:val="hybridMultilevel"/>
    <w:tmpl w:val="727EAD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7D323D"/>
    <w:multiLevelType w:val="multilevel"/>
    <w:tmpl w:val="F6C471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CCD6954"/>
    <w:multiLevelType w:val="hybridMultilevel"/>
    <w:tmpl w:val="0DC211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332854"/>
    <w:multiLevelType w:val="multilevel"/>
    <w:tmpl w:val="A93AB45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669550956">
    <w:abstractNumId w:val="5"/>
  </w:num>
  <w:num w:numId="2" w16cid:durableId="1082868525">
    <w:abstractNumId w:val="0"/>
  </w:num>
  <w:num w:numId="3" w16cid:durableId="542206918">
    <w:abstractNumId w:val="3"/>
  </w:num>
  <w:num w:numId="4" w16cid:durableId="1659723081">
    <w:abstractNumId w:val="4"/>
  </w:num>
  <w:num w:numId="5" w16cid:durableId="1666667810">
    <w:abstractNumId w:val="1"/>
  </w:num>
  <w:num w:numId="6" w16cid:durableId="1886789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61D0"/>
    <w:rsid w:val="0008651F"/>
    <w:rsid w:val="00091368"/>
    <w:rsid w:val="001539CD"/>
    <w:rsid w:val="001C21D4"/>
    <w:rsid w:val="00210245"/>
    <w:rsid w:val="00244C59"/>
    <w:rsid w:val="00302147"/>
    <w:rsid w:val="00330651"/>
    <w:rsid w:val="003B3E96"/>
    <w:rsid w:val="00473AD7"/>
    <w:rsid w:val="004D2DBC"/>
    <w:rsid w:val="005054A8"/>
    <w:rsid w:val="00506B82"/>
    <w:rsid w:val="00507CE0"/>
    <w:rsid w:val="00523D99"/>
    <w:rsid w:val="00553439"/>
    <w:rsid w:val="00586B24"/>
    <w:rsid w:val="005E21CA"/>
    <w:rsid w:val="00602F75"/>
    <w:rsid w:val="006057BF"/>
    <w:rsid w:val="006460F4"/>
    <w:rsid w:val="00670B66"/>
    <w:rsid w:val="006D504E"/>
    <w:rsid w:val="00702E47"/>
    <w:rsid w:val="00705D2D"/>
    <w:rsid w:val="00776C72"/>
    <w:rsid w:val="00832B02"/>
    <w:rsid w:val="00852DFF"/>
    <w:rsid w:val="00886AC7"/>
    <w:rsid w:val="008E7606"/>
    <w:rsid w:val="009424EB"/>
    <w:rsid w:val="009C2537"/>
    <w:rsid w:val="009E7A12"/>
    <w:rsid w:val="00A330AA"/>
    <w:rsid w:val="00AD6036"/>
    <w:rsid w:val="00BE79EC"/>
    <w:rsid w:val="00C05439"/>
    <w:rsid w:val="00C3220A"/>
    <w:rsid w:val="00D319AF"/>
    <w:rsid w:val="00D77C9C"/>
    <w:rsid w:val="00DC7A50"/>
    <w:rsid w:val="00EA214E"/>
    <w:rsid w:val="00F21B1B"/>
    <w:rsid w:val="00F361D0"/>
    <w:rsid w:val="00F7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40F98"/>
  <w15:docId w15:val="{8EC354F9-C4BE-4416-81BC-C6E15123D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3F0A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73210F"/>
    <w:rPr>
      <w:color w:val="0000FF" w:themeColor="hyperlink"/>
      <w:u w:val="single"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rsid w:val="00401DA3"/>
    <w:rPr>
      <w:color w:val="800080" w:themeColor="followedHyperlink"/>
      <w:u w:val="single"/>
    </w:rPr>
  </w:style>
  <w:style w:type="paragraph" w:styleId="Titolo">
    <w:name w:val="Title"/>
    <w:basedOn w:val="Normale"/>
    <w:next w:val="Corpotesto"/>
    <w:qFormat/>
    <w:rsid w:val="009C253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9C2537"/>
    <w:pPr>
      <w:spacing w:after="140"/>
    </w:pPr>
  </w:style>
  <w:style w:type="paragraph" w:styleId="Elenco">
    <w:name w:val="List"/>
    <w:basedOn w:val="Corpotesto"/>
    <w:rsid w:val="009C2537"/>
    <w:rPr>
      <w:rFonts w:cs="Lucida Sans"/>
    </w:rPr>
  </w:style>
  <w:style w:type="paragraph" w:styleId="Didascalia">
    <w:name w:val="caption"/>
    <w:basedOn w:val="Normale"/>
    <w:qFormat/>
    <w:rsid w:val="009C253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9C2537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F05F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basedOn w:val="Normale"/>
    <w:qFormat/>
    <w:rsid w:val="0073210F"/>
    <w:pPr>
      <w:widowControl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2"/>
      <w:sz w:val="24"/>
      <w:szCs w:val="24"/>
      <w:lang w:val="de-DE" w:eastAsia="ja-JP" w:bidi="fa-IR"/>
    </w:rPr>
  </w:style>
  <w:style w:type="paragraph" w:customStyle="1" w:styleId="Standard">
    <w:name w:val="Standard"/>
    <w:qFormat/>
    <w:rsid w:val="00EA73DF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table" w:styleId="Grigliatabella">
    <w:name w:val="Table Grid"/>
    <w:basedOn w:val="Tabellanormale"/>
    <w:uiPriority w:val="59"/>
    <w:rsid w:val="00544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586B24"/>
    <w:pPr>
      <w:widowControl w:val="0"/>
    </w:pPr>
    <w:rPr>
      <w:rFonts w:ascii="Times New Roman" w:eastAsia="NSimSun" w:hAnsi="Times New Roman" w:cs="Mangal"/>
      <w:sz w:val="24"/>
      <w:szCs w:val="24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1C21D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C21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F4485-DC1A-4A6C-B9E8-600A3DF17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Gitto</dc:creator>
  <dc:description/>
  <cp:lastModifiedBy>MANUELA BRINDISI</cp:lastModifiedBy>
  <cp:revision>40</cp:revision>
  <cp:lastPrinted>2016-02-16T12:34:00Z</cp:lastPrinted>
  <dcterms:created xsi:type="dcterms:W3CDTF">2016-04-22T09:34:00Z</dcterms:created>
  <dcterms:modified xsi:type="dcterms:W3CDTF">2026-05-12T06:29:00Z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Olidata S.p.A.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